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Требования к формату представления статей к публикации в журнале «Микроэлектронные системы»</w:t>
      </w:r>
    </w:p>
    <w:p>
      <w:pPr>
        <w:pStyle w:val="Normal"/>
        <w:bidi w:val="0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</w:r>
    </w:p>
    <w:p>
      <w:pPr>
        <w:pStyle w:val="Normal"/>
        <w:bidi w:val="0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1.</w:t>
      </w:r>
      <w:r>
        <w:rPr>
          <w:rFonts w:ascii="Liberation Serif" w:hAnsi="Liberation Serif"/>
          <w:b/>
          <w:bCs/>
          <w:sz w:val="24"/>
          <w:szCs w:val="24"/>
        </w:rPr>
        <w:t xml:space="preserve"> Требования к оформлению и содержанию</w:t>
      </w:r>
    </w:p>
    <w:p>
      <w:pPr>
        <w:pStyle w:val="Normal"/>
        <w:bidi w:val="0"/>
        <w:jc w:val="center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Normal"/>
        <w:bidi w:val="0"/>
        <w:jc w:val="both"/>
        <w:rPr>
          <w:rFonts w:ascii="Arial" w:hAnsi="Arial" w:eastAsia="Times New Roman" w:cs="Times New Roman"/>
          <w:color w:val="000000"/>
          <w:sz w:val="21"/>
          <w:szCs w:val="21"/>
          <w:lang w:eastAsia="ru-RU"/>
        </w:rPr>
      </w:pPr>
      <w:r>
        <w:rPr>
          <w:rFonts w:eastAsia="Times New Roman" w:cs="Times New Roman" w:ascii="Arial" w:hAnsi="Arial"/>
          <w:color w:val="000000"/>
          <w:sz w:val="21"/>
          <w:szCs w:val="21"/>
          <w:lang w:eastAsia="ru-RU"/>
        </w:rPr>
        <w:tab/>
      </w:r>
      <w:r>
        <w:rPr>
          <w:rFonts w:eastAsia="Times New Roman" w:cs="Times New Roman" w:ascii="Liberation Serif" w:hAnsi="Liberation Serif"/>
          <w:color w:val="000000"/>
          <w:sz w:val="24"/>
          <w:szCs w:val="24"/>
          <w:lang w:eastAsia="ru-RU"/>
        </w:rPr>
        <w:t>Материалы статьи должны соответствовать тематике журнала "Микроэлектронные системы» и содержать новые результаты исследований, не опубликованные ранее и не предназначенные к публикации в других печатных или электронных изданиях.</w:t>
      </w:r>
    </w:p>
    <w:p>
      <w:pPr>
        <w:pStyle w:val="Normal"/>
        <w:bidi w:val="0"/>
        <w:jc w:val="start"/>
        <w:textAlignment w:val="baseline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eastAsia="Times New Roman" w:cs="Arial" w:ascii="Liberation Serif" w:hAnsi="Liberation Serif"/>
          <w:b w:val="false"/>
          <w:bCs w:val="false"/>
          <w:sz w:val="24"/>
          <w:szCs w:val="24"/>
          <w:lang w:eastAsia="ru-RU"/>
        </w:rPr>
        <w:t xml:space="preserve">Журнал </w:t>
      </w:r>
      <w:r>
        <w:rPr>
          <w:rFonts w:eastAsia="Times New Roman" w:cs="Arial" w:ascii="Liberation Serif" w:hAnsi="Liberation Serif"/>
          <w:sz w:val="24"/>
          <w:szCs w:val="24"/>
          <w:lang w:eastAsia="ru-RU"/>
        </w:rPr>
        <w:t xml:space="preserve">ориентирован на публикацию статей, по тематике </w:t>
      </w:r>
      <w:r>
        <w:rPr>
          <w:rFonts w:eastAsia="Times New Roman" w:cs="Arial" w:ascii="Liberation Serif" w:hAnsi="Liberation Serif"/>
          <w:b w:val="false"/>
          <w:bCs w:val="false"/>
          <w:sz w:val="24"/>
          <w:szCs w:val="24"/>
          <w:lang w:eastAsia="ru-RU"/>
        </w:rPr>
        <w:t>следующих научных специальностей перечня ВАК:</w:t>
      </w:r>
    </w:p>
    <w:p>
      <w:pPr>
        <w:pStyle w:val="Normal"/>
        <w:numPr>
          <w:ilvl w:val="0"/>
          <w:numId w:val="1"/>
        </w:numPr>
        <w:bidi w:val="0"/>
        <w:ind w:hanging="360" w:start="720" w:end="375"/>
        <w:jc w:val="start"/>
        <w:textAlignment w:val="baseline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eastAsia="Times New Roman" w:cs="Arial" w:ascii="Liberation Serif" w:hAnsi="Liberation Serif"/>
          <w:sz w:val="24"/>
          <w:szCs w:val="24"/>
          <w:lang w:eastAsia="ru-RU"/>
        </w:rPr>
        <w:t xml:space="preserve">2.2.2. </w:t>
      </w:r>
      <w:r>
        <w:rPr>
          <w:rFonts w:eastAsia="Times New Roman" w:cs="Arial" w:ascii="Liberation Serif" w:hAnsi="Liberation Serif"/>
          <w:color w:themeColor="dark1" w:val="000000"/>
          <w:sz w:val="24"/>
          <w:szCs w:val="24"/>
          <w:lang w:eastAsia="ru-RU"/>
        </w:rPr>
        <w:t>Электронная компонентная база микро- и наноэлектроники, квантовых устройств</w:t>
      </w:r>
    </w:p>
    <w:p>
      <w:pPr>
        <w:pStyle w:val="Normal"/>
        <w:numPr>
          <w:ilvl w:val="0"/>
          <w:numId w:val="1"/>
        </w:numPr>
        <w:bidi w:val="0"/>
        <w:ind w:hanging="360" w:start="720" w:end="375"/>
        <w:jc w:val="start"/>
        <w:textAlignment w:val="baseline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eastAsia="Times New Roman" w:cs="Arial" w:ascii="Liberation Serif" w:hAnsi="Liberation Serif"/>
          <w:sz w:val="24"/>
          <w:szCs w:val="24"/>
          <w:lang w:eastAsia="ru-RU"/>
        </w:rPr>
        <w:t>2.3.2. Вычислительные системы и их элементы</w:t>
      </w:r>
    </w:p>
    <w:p>
      <w:pPr>
        <w:pStyle w:val="Normal"/>
        <w:numPr>
          <w:ilvl w:val="0"/>
          <w:numId w:val="1"/>
        </w:numPr>
        <w:bidi w:val="0"/>
        <w:ind w:hanging="360" w:start="720" w:end="375"/>
        <w:jc w:val="start"/>
        <w:textAlignment w:val="baseline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eastAsia="Times New Roman" w:cs="Arial" w:ascii="Liberation Serif" w:hAnsi="Liberation Serif"/>
          <w:sz w:val="24"/>
          <w:szCs w:val="24"/>
          <w:lang w:eastAsia="ru-RU"/>
        </w:rPr>
        <w:t>2.3.5. Математическое и программное обеспечение вычислительных систем, комплексов и компьютерных сетей</w:t>
      </w:r>
    </w:p>
    <w:p>
      <w:pPr>
        <w:pStyle w:val="Normal"/>
        <w:numPr>
          <w:ilvl w:val="0"/>
          <w:numId w:val="1"/>
        </w:numPr>
        <w:bidi w:val="0"/>
        <w:ind w:hanging="360" w:start="720" w:end="375"/>
        <w:jc w:val="start"/>
        <w:textAlignment w:val="baseline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eastAsia="Times New Roman" w:cs="Arial" w:ascii="Liberation Serif" w:hAnsi="Liberation Serif"/>
          <w:sz w:val="24"/>
          <w:szCs w:val="24"/>
          <w:lang w:eastAsia="ru-RU"/>
        </w:rPr>
        <w:t>2.3.7. Компьютерное моделирование и автоматизация проектирования</w:t>
      </w:r>
    </w:p>
    <w:p>
      <w:pPr>
        <w:pStyle w:val="Normal"/>
        <w:numPr>
          <w:ilvl w:val="0"/>
          <w:numId w:val="0"/>
        </w:numPr>
        <w:bidi w:val="0"/>
        <w:ind w:hanging="0" w:start="720" w:end="375"/>
        <w:jc w:val="start"/>
        <w:textAlignment w:val="baseline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eastAsia="Times New Roman" w:cs="Arial" w:ascii="Liberation Serif" w:hAnsi="Liberation Serif"/>
          <w:sz w:val="24"/>
          <w:szCs w:val="24"/>
          <w:lang w:eastAsia="ru-RU"/>
        </w:rPr>
      </w:r>
    </w:p>
    <w:p>
      <w:pPr>
        <w:pStyle w:val="Normal"/>
        <w:bidi w:val="0"/>
        <w:jc w:val="start"/>
        <w:rPr/>
      </w:pPr>
      <w:r>
        <w:rPr>
          <w:rFonts w:eastAsia="Times New Roman" w:cs="Times New Roman" w:ascii="Arial" w:hAnsi="Arial"/>
          <w:color w:val="000000"/>
          <w:sz w:val="21"/>
          <w:szCs w:val="21"/>
          <w:lang w:eastAsia="ru-RU"/>
        </w:rPr>
        <w:tab/>
      </w:r>
      <w:r>
        <w:rPr>
          <w:lang w:eastAsia="ru-RU"/>
        </w:rPr>
        <w:t>Все статьи проходят обязательное рецензирование. Статьи проходят проверку на наличие дублирования и заимствований (Антиплагиат).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>При рассмотрении представленной авторами статьи Редакционная коллегия имеет право: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>
          <w:lang w:eastAsia="ru-RU"/>
        </w:rPr>
        <w:t>принять статью к опубликованию;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>
          <w:lang w:eastAsia="ru-RU"/>
        </w:rPr>
        <w:t>направить статью на доработку авторам в соответствии со сформулированными замечаниями;</w:t>
      </w:r>
    </w:p>
    <w:p>
      <w:pPr>
        <w:pStyle w:val="Normal"/>
        <w:numPr>
          <w:ilvl w:val="0"/>
          <w:numId w:val="2"/>
        </w:numPr>
        <w:bidi w:val="0"/>
        <w:jc w:val="start"/>
        <w:rPr/>
      </w:pPr>
      <w:r>
        <w:rPr>
          <w:lang w:eastAsia="ru-RU"/>
        </w:rPr>
        <w:t>отклонить представленную статью.</w:t>
      </w:r>
    </w:p>
    <w:p>
      <w:pPr>
        <w:pStyle w:val="Normal"/>
        <w:bidi w:val="0"/>
        <w:jc w:val="start"/>
        <w:rPr/>
      </w:pPr>
      <w:r>
        <w:rPr/>
        <w:tab/>
        <w:t>Просьба редакции о доработке рукописи не означает, что статья принята к печати, так как она вновь будет рассматриваться рецензентами, а затем редколлегией. Редакция оставляет за собой право при необходимости сокращать статьи, редактировать и отсылать авторам на доработку.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 xml:space="preserve">Рекомендуется следующая структура статьи: 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lang w:eastAsia="ru-RU"/>
        </w:rPr>
        <w:t>введение, содержащее обоснование актуальности и краткий обзор проблематики;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lang w:eastAsia="ru-RU"/>
        </w:rPr>
        <w:t>четкую постановку задачи исследования;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lang w:eastAsia="ru-RU"/>
        </w:rPr>
        <w:t>описание метода решения задачи исследования;</w:t>
      </w:r>
    </w:p>
    <w:p>
      <w:pPr>
        <w:pStyle w:val="Normal"/>
        <w:numPr>
          <w:ilvl w:val="0"/>
          <w:numId w:val="1"/>
        </w:numPr>
        <w:bidi w:val="0"/>
        <w:jc w:val="start"/>
        <w:rPr/>
      </w:pPr>
      <w:r>
        <w:rPr>
          <w:lang w:eastAsia="ru-RU"/>
        </w:rPr>
        <w:t>прикладную интерпретацию и иллюстрацию полученных результатов исследования;</w:t>
      </w:r>
    </w:p>
    <w:p>
      <w:pPr>
        <w:pStyle w:val="Normal"/>
        <w:numPr>
          <w:ilvl w:val="0"/>
          <w:numId w:val="1"/>
        </w:numPr>
        <w:bidi w:val="0"/>
        <w:jc w:val="start"/>
        <w:rPr>
          <w:lang w:eastAsia="ru-RU"/>
        </w:rPr>
      </w:pPr>
      <w:r>
        <w:rPr>
          <w:lang w:eastAsia="ru-RU"/>
        </w:rPr>
        <w:t>заключение, включающее обобщение и указание области применения полученных результатов, не повторяющее аннотацию и не ограничивающееся простым перечислением того, что сделано в работе.</w:t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bidi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Правила подготовки рукописи статьи</w:t>
      </w:r>
    </w:p>
    <w:p>
      <w:pPr>
        <w:pStyle w:val="Normal"/>
        <w:bidi w:val="0"/>
        <w:jc w:val="start"/>
        <w:rPr>
          <w:lang w:eastAsia="ru-RU"/>
        </w:rPr>
      </w:pPr>
      <w:r>
        <w:rPr/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  <w:tab/>
        <w:t>Объем рукописи статьи, предлагаемой к публикации, должен быть не менее 10 и не более 20 страниц формата A4 с полями со всех сторон не менее 2 см, с абзацным отступом 1 см, с полуторным межстрочным интервалом, с использованием текстового редактора Microsoft Word (любая версия) с шрифтом Times New Roman размером 14 pt.</w:t>
        <w:br/>
        <w:t xml:space="preserve"> </w:t>
        <w:tab/>
        <w:t>В указанный объем статьи входят: текст, приложения, иллюстрации, таблицы, список литературы. В отдельных случаях по решению редколлегии объем статьи может быть увеличен. Страницы рукописи должны быть пронумерованы, начиная с первой.</w:t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</w:r>
      <w:r>
        <w:rPr>
          <w:b/>
          <w:bCs/>
          <w:lang w:eastAsia="ru-RU"/>
        </w:rPr>
        <w:t>Материал статьи должен быть изложен в следующей последовательности</w:t>
      </w:r>
      <w:r>
        <w:rPr>
          <w:lang w:eastAsia="ru-RU"/>
        </w:rPr>
        <w:t>:</w:t>
      </w:r>
    </w:p>
    <w:p>
      <w:pPr>
        <w:pStyle w:val="Normal"/>
        <w:numPr>
          <w:ilvl w:val="0"/>
          <w:numId w:val="3"/>
        </w:numPr>
        <w:bidi w:val="0"/>
        <w:jc w:val="start"/>
        <w:rPr/>
      </w:pPr>
      <w:r>
        <w:rPr>
          <w:lang w:eastAsia="ru-RU"/>
        </w:rPr>
        <w:t>шифр УДК в левом верхнем углу;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инициалы и фамилия автора (полужирным шрифтом по центру), ученое звание, должность, e-mail;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название организации (без сокращений), город (если организаций больше, чем одна, то указываются все организации со сносками после фамилий соответствующих авторов; в случае совпадения места работы авторов нужно указывать его один раз для всей группы авторов);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название статьи (полужирным шрифтом по центру) не более 12 слов;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аннотация (объемом 5-7 строчек), в предельно сжатой форме излагающая суть работы и полученные результаты;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ключевые слова (8-10 слов), несущие в тексте основную смысловую нагрузку;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текст статьи с учетом указанных далее требований к его оформлению;</w:t>
      </w:r>
    </w:p>
    <w:p>
      <w:pPr>
        <w:pStyle w:val="Normal"/>
        <w:numPr>
          <w:ilvl w:val="0"/>
          <w:numId w:val="3"/>
        </w:numPr>
        <w:bidi w:val="0"/>
        <w:spacing w:before="0" w:after="0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список литературы, оформленный по</w:t>
      </w:r>
      <w:hyperlink r:id="rId2">
        <w:r>
          <w:rPr>
            <w:rStyle w:val="Style9"/>
            <w:rFonts w:eastAsia="Times New Roman" w:cs="Arial" w:ascii="Liberation Serif" w:hAnsi="Liberation Serif"/>
            <w:color w:val="0000FF"/>
            <w:sz w:val="24"/>
            <w:szCs w:val="24"/>
            <w:u w:val="single"/>
            <w:lang w:eastAsia="ru-RU"/>
          </w:rPr>
          <w:t> ГОСТ Р 7.0.5-2008</w:t>
        </w:r>
      </w:hyperlink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bidi w:val="0"/>
        <w:spacing w:before="0" w:afterAutospacing="1"/>
        <w:jc w:val="start"/>
        <w:rPr>
          <w:rFonts w:ascii="Verdana" w:hAnsi="Verdana" w:eastAsia="Times New Roman" w:cs="Arial"/>
          <w:color w:val="000000"/>
          <w:sz w:val="18"/>
          <w:szCs w:val="18"/>
          <w:lang w:eastAsia="ru-RU"/>
        </w:rPr>
      </w:pPr>
      <w:r>
        <w:rPr>
          <w:rFonts w:eastAsia="Times New Roman" w:cs="Arial" w:ascii="Liberation Serif" w:hAnsi="Liberation Serif"/>
          <w:color w:val="000000"/>
          <w:sz w:val="24"/>
          <w:szCs w:val="24"/>
          <w:lang w:eastAsia="ru-RU"/>
        </w:rPr>
        <w:t>англоязычная информация по статье.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lang w:eastAsia="ru-RU"/>
        </w:rPr>
      </w:pPr>
      <w:r>
        <w:rPr>
          <w:lang w:eastAsia="ru-RU"/>
        </w:rPr>
        <w:t>Пример оформления статьи приведен в прилагаемом шаблоне.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>В тексте статьи следует придерживаться общепринятой терминологии, а все используемые специальные термины, обозначения и аббревиатуры должны быть раскрыты и разъяснены.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</w:r>
      <w:r>
        <w:rPr>
          <w:b/>
          <w:bCs/>
          <w:lang w:eastAsia="ru-RU"/>
        </w:rPr>
        <w:t>Формулы должны быть набраны</w:t>
      </w:r>
      <w:r>
        <w:rPr>
          <w:lang w:eastAsia="ru-RU"/>
        </w:rPr>
        <w:t xml:space="preserve"> четко с соблюдением различий в написании прописных и строчных букв, а также букв, сходных по начертанию. Индексы и показатели степени следует писать строго ниже или выше строки. В формулах русские и греческие буквы следует набирать прямо, а латинские буквы, обозначающие скалярные переменные, - курсивом. Величины, обозначающие векторы и матрицы, должны быть выделены полужирным шрифтом и набраны прямо (допускается также набор всех величин, обозначенных латинскими буквами, в том числе матриц и векторов, светлым курсивом); знак транспонирования - буквой "т" строчной прямой в верхнем индексе; экспонента - буквой «е» полужирной прямой. Стандартные математические обозначения (например, max, log, sin и т.д.) должны быть набраны прямо. Номера формул пишутся справа в круглых скобках. </w:t>
        <w:tab/>
      </w:r>
      <w:r>
        <w:rPr>
          <w:b/>
          <w:bCs/>
          <w:lang w:eastAsia="ru-RU"/>
        </w:rPr>
        <w:t xml:space="preserve">Нумерация формул сквозная </w:t>
      </w:r>
      <w:r>
        <w:rPr>
          <w:lang w:eastAsia="ru-RU"/>
        </w:rPr>
        <w:t>и дается в порядке их появления, причем нумеруются только формулы, на которые имеются ссылки в тексте.</w:t>
      </w:r>
    </w:p>
    <w:p>
      <w:pPr>
        <w:pStyle w:val="Normal"/>
        <w:bidi w:val="0"/>
        <w:jc w:val="start"/>
        <w:rPr/>
      </w:pPr>
      <w:r>
        <w:rPr>
          <w:b/>
          <w:bCs/>
          <w:lang w:eastAsia="ru-RU"/>
        </w:rPr>
        <w:tab/>
        <w:t>Список литературы</w:t>
      </w:r>
      <w:r>
        <w:rPr>
          <w:lang w:eastAsia="ru-RU"/>
        </w:rPr>
        <w:t> включает только рецензируемые источники - авторские научные публикации (статьи из научных журналов и монографии). Ссылки на иные документы, не являющиеся авторскими научными публикациями, в том числе электронные, рекомендуется размещать непосредственно в тексте, либо оформлять их как постраничные сноски. </w:t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  <w:tab/>
        <w:t>Список литературы имеет сквозную нумерацию в порядке упоминания в тексте и содержит следующие данные: фамилия и инициалы автора, название работы, название журнала, сборника (если это не монография), город и полное название издательства (для монографии), год издания, том, номер журнала, страницы (или номер статьи), а также DOI (обязательно при наличии). Ссылки на литературные источники даются в квадратных скобках.</w:t>
      </w:r>
    </w:p>
    <w:p>
      <w:pPr>
        <w:pStyle w:val="Normal"/>
        <w:bidi w:val="0"/>
        <w:jc w:val="start"/>
        <w:rPr/>
      </w:pPr>
      <w:r>
        <w:rPr>
          <w:b/>
          <w:bCs/>
          <w:lang w:eastAsia="ru-RU"/>
        </w:rPr>
        <w:tab/>
        <w:t>Рисунки и таблицы </w:t>
      </w:r>
      <w:r>
        <w:rPr>
          <w:lang w:eastAsia="ru-RU"/>
        </w:rPr>
        <w:t>должны быть выполнены качественно (графическая обработка</w:t>
        <w:br/>
        <w:t xml:space="preserve">рисунков в редакции не предполагается). 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>При подготовке рисунков в электронном виде просим соблюдать следующие требования к растровым изображениям:</w:t>
      </w:r>
    </w:p>
    <w:p>
      <w:pPr>
        <w:pStyle w:val="Normal"/>
        <w:bidi w:val="0"/>
        <w:jc w:val="start"/>
        <w:rPr/>
      </w:pPr>
      <w:r>
        <w:rPr>
          <w:lang w:eastAsia="ru-RU"/>
        </w:rPr>
        <w:t>TIFF (PhotoShop):</w:t>
        <w:br/>
        <w:t>- полутоновые цветные — 300 dpi, CMYK;</w:t>
        <w:br/>
        <w:t>- полутоновые черно-белые — 300 dpi;</w:t>
        <w:br/>
        <w:t>- штриховые иллюстрации — 600 dpi.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>Толщина линий должна быть не менее 0,15 мм. Масштаб надписей должен быть соразмерным с самим рисунком.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>Обозначения на рисунках должны строго соответствовать обозначениям, принятым в тексте, и иметь идентичное написание. Надписка на рисунках должна быть достаточно</w:t>
        <w:br/>
        <w:t>крупной, чтобы сохранять четкость при уменьшении масштаба рисунка. Не допускаются особо мелкие надписки на рисунках, включая обозначения и оцифровку осей на графиках.</w:t>
        <w:br/>
        <w:tab/>
        <w:t>Цифровые выноски на рисунках должны быть выполнены курсивом; единицы измерения на осях графиков пишутся через запятую и на русском языке.</w:t>
      </w:r>
    </w:p>
    <w:p>
      <w:pPr>
        <w:pStyle w:val="Normal"/>
        <w:bidi w:val="0"/>
        <w:jc w:val="start"/>
        <w:rPr/>
      </w:pPr>
      <w:r>
        <w:rPr>
          <w:b/>
          <w:bCs/>
          <w:lang w:eastAsia="ru-RU"/>
        </w:rPr>
        <w:tab/>
        <w:t>Англоязычная информация</w:t>
      </w:r>
      <w:r>
        <w:rPr>
          <w:lang w:eastAsia="ru-RU"/>
        </w:rPr>
        <w:t xml:space="preserve"> должна включать (согласно требованиям зарубежных аналитических баз данных) следующие данные:</w:t>
      </w:r>
    </w:p>
    <w:p>
      <w:pPr>
        <w:pStyle w:val="Normal"/>
        <w:numPr>
          <w:ilvl w:val="0"/>
          <w:numId w:val="4"/>
        </w:numPr>
        <w:bidi w:val="0"/>
        <w:jc w:val="start"/>
        <w:rPr/>
      </w:pPr>
      <w:r>
        <w:rPr>
          <w:lang w:eastAsia="ru-RU"/>
        </w:rPr>
        <w:t>инициалы и фамилии каждого автора, занимаемую должность, e-mail, полное название места работы (при совпадении места работы авторов нужно указывать его один раз для всей группы авторов);</w:t>
      </w:r>
    </w:p>
    <w:p>
      <w:pPr>
        <w:pStyle w:val="Normal"/>
        <w:numPr>
          <w:ilvl w:val="0"/>
          <w:numId w:val="4"/>
        </w:numPr>
        <w:bidi w:val="0"/>
        <w:jc w:val="start"/>
        <w:rPr/>
      </w:pPr>
      <w:r>
        <w:rPr>
          <w:lang w:eastAsia="ru-RU"/>
        </w:rPr>
        <w:t>название статьи;</w:t>
      </w:r>
    </w:p>
    <w:p>
      <w:pPr>
        <w:pStyle w:val="Normal"/>
        <w:numPr>
          <w:ilvl w:val="0"/>
          <w:numId w:val="4"/>
        </w:numPr>
        <w:bidi w:val="0"/>
        <w:jc w:val="start"/>
        <w:rPr/>
      </w:pPr>
      <w:r>
        <w:rPr>
          <w:lang w:eastAsia="ru-RU"/>
        </w:rPr>
        <w:t>аннотацию статьи объемом не менее 220 слов, написанную качественным английском языком, отражающая основное содержание статьи с указанием цели, задачи, результатов исследования и кратких выводов;</w:t>
      </w:r>
    </w:p>
    <w:p>
      <w:pPr>
        <w:pStyle w:val="Normal"/>
        <w:numPr>
          <w:ilvl w:val="0"/>
          <w:numId w:val="4"/>
        </w:numPr>
        <w:bidi w:val="0"/>
        <w:jc w:val="start"/>
        <w:rPr/>
      </w:pPr>
      <w:r>
        <w:rPr>
          <w:lang w:eastAsia="ru-RU"/>
        </w:rPr>
        <w:t>ключевые слова  (10-12 слов);</w:t>
      </w:r>
    </w:p>
    <w:p>
      <w:pPr>
        <w:pStyle w:val="Normal"/>
        <w:numPr>
          <w:ilvl w:val="0"/>
          <w:numId w:val="4"/>
        </w:numPr>
        <w:bidi w:val="0"/>
        <w:jc w:val="start"/>
        <w:rPr/>
      </w:pPr>
      <w:r>
        <w:rPr>
          <w:lang w:eastAsia="ru-RU"/>
        </w:rPr>
        <w:t>список литературы в романском алфавите (латинице): для русскоязычных источников название источника и место издания должны быть переведены на английский язык, а фамилии и инициалы авторов, название издательства или журнала/сборника должны быть транслитерированы на латинский шрифт. Технические сокращения (номер, том, страница и т.п.) должны быть переведены</w:t>
        <w:br/>
        <w:t>на английский язык с использованием общепринятых обозначений (номер - no., том - vol., страницы - pp. и т.п.). В конце в скобках необходимо указать, что источник - русскоязычный (in Russian).</w:t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  <w:tab/>
        <w:t>Пример оформления англоязычного блока приведен в прилагаемом шаблоне</w:t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bidi w:val="0"/>
        <w:jc w:val="center"/>
        <w:rPr>
          <w:lang w:eastAsia="ru-RU"/>
        </w:rPr>
      </w:pPr>
      <w:r>
        <w:rPr>
          <w:b/>
          <w:bCs/>
          <w:lang w:eastAsia="ru-RU"/>
        </w:rPr>
        <w:t xml:space="preserve">2. </w:t>
      </w:r>
      <w:r>
        <w:rPr>
          <w:b/>
          <w:bCs/>
          <w:lang w:eastAsia="ru-RU"/>
        </w:rPr>
        <w:t>Требования к сопроводительным документам</w:t>
      </w:r>
    </w:p>
    <w:p>
      <w:pPr>
        <w:pStyle w:val="Normal"/>
        <w:bidi w:val="0"/>
        <w:jc w:val="start"/>
        <w:rPr/>
      </w:pPr>
      <w:r>
        <w:rPr>
          <w:lang w:eastAsia="ru-RU"/>
        </w:rPr>
        <w:tab/>
        <w:t>Для  опубликования  статьи  в  редакцию журнала  направляются в электронном виде следующие материалы:</w:t>
      </w:r>
    </w:p>
    <w:p>
      <w:pPr>
        <w:pStyle w:val="Normal"/>
        <w:numPr>
          <w:ilvl w:val="0"/>
          <w:numId w:val="5"/>
        </w:numPr>
        <w:bidi w:val="0"/>
        <w:jc w:val="start"/>
        <w:rPr/>
      </w:pPr>
      <w:r>
        <w:rPr>
          <w:lang w:eastAsia="ru-RU"/>
        </w:rPr>
        <w:t>рукопись статьи в DOC- и PDF-форматах;</w:t>
      </w:r>
    </w:p>
    <w:p>
      <w:pPr>
        <w:pStyle w:val="Normal"/>
        <w:numPr>
          <w:ilvl w:val="0"/>
          <w:numId w:val="5"/>
        </w:numPr>
        <w:bidi w:val="0"/>
        <w:jc w:val="start"/>
        <w:rPr/>
      </w:pPr>
      <w:r>
        <w:rPr>
          <w:lang w:eastAsia="ru-RU"/>
        </w:rPr>
        <w:t>сведения об авторах, содержащие (согласно регламенту РИНЦ) фамилию, имя, отчество, ученые степень и звание, должность, место работы, служебный и домашний адреса, контактные телефоны и e-mail;</w:t>
      </w:r>
    </w:p>
    <w:p>
      <w:pPr>
        <w:pStyle w:val="Normal"/>
        <w:numPr>
          <w:ilvl w:val="0"/>
          <w:numId w:val="5"/>
        </w:numPr>
        <w:bidi w:val="0"/>
        <w:jc w:val="start"/>
        <w:rPr/>
      </w:pPr>
      <w:r>
        <w:rPr>
          <w:lang w:eastAsia="ru-RU"/>
        </w:rPr>
        <w:t>экспертное заключение о возможности публикации статьи в открытой печати;</w:t>
      </w:r>
    </w:p>
    <w:p>
      <w:pPr>
        <w:pStyle w:val="Normal"/>
        <w:numPr>
          <w:ilvl w:val="0"/>
          <w:numId w:val="5"/>
        </w:numPr>
        <w:bidi w:val="0"/>
        <w:jc w:val="start"/>
        <w:rPr/>
      </w:pPr>
      <w:r>
        <w:rPr>
          <w:lang w:eastAsia="ru-RU"/>
        </w:rPr>
        <w:t>англоязычная информация, содержащая данные статьи, необходимые для индексирования журнала в международных наукометрических базах данных;</w:t>
      </w:r>
    </w:p>
    <w:p>
      <w:pPr>
        <w:pStyle w:val="Normal"/>
        <w:numPr>
          <w:ilvl w:val="0"/>
          <w:numId w:val="5"/>
        </w:numPr>
        <w:bidi w:val="0"/>
        <w:jc w:val="start"/>
        <w:rPr>
          <w:lang w:eastAsia="ru-RU"/>
        </w:rPr>
      </w:pPr>
      <w:r>
        <w:rPr>
          <w:lang w:eastAsia="ru-RU"/>
        </w:rPr>
        <w:t>лицензионное соглашение;</w:t>
      </w:r>
    </w:p>
    <w:p>
      <w:pPr>
        <w:pStyle w:val="Normal"/>
        <w:numPr>
          <w:ilvl w:val="0"/>
          <w:numId w:val="5"/>
        </w:numPr>
        <w:bidi w:val="0"/>
        <w:jc w:val="start"/>
        <w:rPr>
          <w:lang w:eastAsia="ru-RU"/>
        </w:rPr>
      </w:pPr>
      <w:r>
        <w:rPr>
          <w:lang w:eastAsia="ru-RU"/>
        </w:rPr>
        <w:t>согласие на обработку и распространение персональных данных.</w:t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numPr>
          <w:ilvl w:val="0"/>
          <w:numId w:val="0"/>
        </w:numPr>
        <w:bidi w:val="0"/>
        <w:ind w:hanging="0" w:start="72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3. Порядок коммуникации с редакцией</w:t>
      </w:r>
    </w:p>
    <w:p>
      <w:pPr>
        <w:pStyle w:val="Normal"/>
        <w:numPr>
          <w:ilvl w:val="0"/>
          <w:numId w:val="5"/>
        </w:numPr>
        <w:bidi w:val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</w:r>
    </w:p>
    <w:p>
      <w:pPr>
        <w:pStyle w:val="Normal"/>
        <w:numPr>
          <w:ilvl w:val="0"/>
          <w:numId w:val="0"/>
        </w:numPr>
        <w:bidi w:val="0"/>
        <w:ind w:hanging="0" w:start="720"/>
        <w:jc w:val="start"/>
        <w:rPr>
          <w:lang w:eastAsia="ru-RU"/>
        </w:rPr>
      </w:pPr>
      <w:r>
        <w:rPr>
          <w:lang w:eastAsia="ru-RU"/>
        </w:rPr>
        <w:t xml:space="preserve">Материалы направляются в редакцию журнала по электронной почте </w:t>
      </w:r>
      <w:r>
        <w:rPr>
          <w:lang w:eastAsia="ru-RU"/>
        </w:rPr>
        <w:t>_________</w:t>
      </w:r>
      <w:r>
        <w:rPr>
          <w:lang w:eastAsia="ru-RU"/>
        </w:rPr>
        <w:br/>
      </w:r>
    </w:p>
    <w:p>
      <w:pPr>
        <w:pStyle w:val="Normal"/>
        <w:bidi w:val="0"/>
        <w:jc w:val="start"/>
        <w:rPr>
          <w:lang w:eastAsia="ru-RU"/>
        </w:rPr>
      </w:pPr>
      <w:r>
        <w:rPr>
          <w:lang w:eastAsia="ru-RU"/>
        </w:rPr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Verdana">
    <w:charset w:val="01" w:characterSet="utf-8"/>
    <w:family w:val="swiss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ovtex.ru/IT/bibl.pdf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193</TotalTime>
  <Application>LibreOffice/26.2.4.2$MacOSX_AARCH64 LibreOffice_project/0229ac93fcf0d7cbc6376066c6f35021cef002dc</Application>
  <AppVersion>15.0000</AppVersion>
  <Pages>3</Pages>
  <Words>1080</Words>
  <Characters>7054</Characters>
  <CharactersWithSpaces>8071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2026-09-16T04:56:16Z</dcterms:created>
  <dc:creator/>
  <dc:description/>
  <dc:language>ru-RU</dc:language>
  <cp:lastModifiedBy/>
  <dcterms:modified xsi:type="dcterms:W3CDTF">2026-09-16T08:23:36Z</dcterms:modified>
  <cp:revision>12</cp:revision>
  <dc:subject/>
  <dc:title/>
</cp:coreProperties>
</file>